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6B" w:rsidRDefault="00DD296B" w:rsidP="00DD296B">
      <w:pPr>
        <w:pStyle w:val="NormalWeb"/>
        <w:rPr>
          <w:rStyle w:val="Strong"/>
        </w:rPr>
      </w:pPr>
      <w:r>
        <w:rPr>
          <w:rStyle w:val="Strong"/>
        </w:rPr>
        <w:t>Lisa 2</w:t>
      </w:r>
      <w:r w:rsidR="008D75BE">
        <w:rPr>
          <w:rStyle w:val="Strong"/>
        </w:rPr>
        <w:t>;</w:t>
      </w:r>
      <w:r>
        <w:rPr>
          <w:rStyle w:val="Strong"/>
        </w:rPr>
        <w:t xml:space="preserve"> Katsetusmenetlus</w:t>
      </w:r>
      <w:bookmarkStart w:id="0" w:name="_GoBack"/>
      <w:bookmarkEnd w:id="0"/>
    </w:p>
    <w:p w:rsidR="00DD296B" w:rsidRDefault="00DD296B" w:rsidP="00DD296B">
      <w:pPr>
        <w:pStyle w:val="NormalWeb"/>
      </w:pPr>
      <w:r>
        <w:rPr>
          <w:rStyle w:val="Strong"/>
        </w:rPr>
        <w:t>Analüütiline ülevaade: Katsetusmenetluste kasutamine Eesti õigussüsteemis</w:t>
      </w:r>
    </w:p>
    <w:p w:rsidR="008D75BE" w:rsidRDefault="00DD296B" w:rsidP="008D75BE">
      <w:pPr>
        <w:pStyle w:val="NormalWeb"/>
        <w:numPr>
          <w:ilvl w:val="0"/>
          <w:numId w:val="7"/>
        </w:numPr>
      </w:pPr>
      <w:r>
        <w:rPr>
          <w:rStyle w:val="Strong"/>
        </w:rPr>
        <w:t>Sissejuhatus</w:t>
      </w:r>
      <w:r>
        <w:t xml:space="preserve"> </w:t>
      </w:r>
    </w:p>
    <w:p w:rsidR="008D75BE" w:rsidRDefault="00DD296B" w:rsidP="008D75BE">
      <w:pPr>
        <w:pStyle w:val="NormalWeb"/>
      </w:pPr>
      <w:r>
        <w:t>Katsetusmenetluseks võib nimetada kriminaal- või muu juriidilise menetluse algatamist olukorras, kus eesmärk ei ole niivõrd k</w:t>
      </w:r>
      <w:r w:rsidR="008D75BE">
        <w:t>onkreetse rikkumise tuvastamine</w:t>
      </w:r>
      <w:r>
        <w:t xml:space="preserve"> vaid seaduse tõlgendamise suunamine,</w:t>
      </w:r>
      <w:r w:rsidR="008D75BE">
        <w:t xml:space="preserve"> lõpliku selguse saavutamine ning</w:t>
      </w:r>
      <w:r>
        <w:t xml:space="preserve"> uue praktika kujundamine. </w:t>
      </w:r>
    </w:p>
    <w:p w:rsidR="00DD296B" w:rsidRDefault="00DD296B" w:rsidP="008D75BE">
      <w:pPr>
        <w:pStyle w:val="NormalWeb"/>
      </w:pPr>
      <w:r>
        <w:t>Kuigi see lähenemine võib paista pragmaatiline, tõstatab see mitmeid põhimõttelisi probleeme õigusriigi toimimise, i</w:t>
      </w:r>
      <w:r w:rsidR="008D75BE">
        <w:t>nimõiguste kaitse ja võimude</w:t>
      </w:r>
      <w:r>
        <w:t xml:space="preserve"> lahususe vaates.</w:t>
      </w:r>
    </w:p>
    <w:p w:rsidR="008D75BE" w:rsidRDefault="00DD296B" w:rsidP="008D75BE">
      <w:pPr>
        <w:pStyle w:val="NormalWeb"/>
        <w:numPr>
          <w:ilvl w:val="0"/>
          <w:numId w:val="7"/>
        </w:numPr>
      </w:pPr>
      <w:r>
        <w:rPr>
          <w:rStyle w:val="Strong"/>
        </w:rPr>
        <w:t>Katsetusmenetluse olemus</w:t>
      </w:r>
      <w:r>
        <w:t xml:space="preserve"> </w:t>
      </w:r>
    </w:p>
    <w:p w:rsidR="00DD296B" w:rsidRPr="008D75BE" w:rsidRDefault="00DD296B" w:rsidP="008D75BE">
      <w:pPr>
        <w:pStyle w:val="NormalWeb"/>
        <w:rPr>
          <w:b/>
        </w:rPr>
      </w:pPr>
      <w:r>
        <w:t xml:space="preserve">Katsetusmenetluses suunatakse vaieldava või ebamäärase olukorraga seotud asi kohtusse lootuses, et kohus väljendab seisukoha, mis tulevikus suunaks kogu </w:t>
      </w:r>
      <w:r w:rsidR="008D75BE">
        <w:t xml:space="preserve">tegevust ja </w:t>
      </w:r>
      <w:r>
        <w:t xml:space="preserve">praktikat. </w:t>
      </w:r>
      <w:r w:rsidR="008D75BE" w:rsidRPr="008D75BE">
        <w:rPr>
          <w:b/>
        </w:rPr>
        <w:t>Menetlust</w:t>
      </w:r>
      <w:r w:rsidRPr="008D75BE">
        <w:rPr>
          <w:b/>
        </w:rPr>
        <w:t xml:space="preserve"> võib algatada</w:t>
      </w:r>
      <w:r w:rsidR="008D75BE">
        <w:rPr>
          <w:b/>
        </w:rPr>
        <w:t xml:space="preserve"> või mitte algatada</w:t>
      </w:r>
      <w:r w:rsidRPr="008D75BE">
        <w:rPr>
          <w:b/>
        </w:rPr>
        <w:t>:</w:t>
      </w:r>
    </w:p>
    <w:p w:rsidR="00DD296B" w:rsidRDefault="00DD296B" w:rsidP="00DD296B">
      <w:pPr>
        <w:pStyle w:val="NormalWeb"/>
        <w:numPr>
          <w:ilvl w:val="0"/>
          <w:numId w:val="1"/>
        </w:numPr>
      </w:pPr>
      <w:r>
        <w:t>Prokuratuur</w:t>
      </w:r>
    </w:p>
    <w:p w:rsidR="00DD296B" w:rsidRDefault="00DD296B" w:rsidP="00DD296B">
      <w:pPr>
        <w:pStyle w:val="NormalWeb"/>
        <w:numPr>
          <w:ilvl w:val="0"/>
          <w:numId w:val="1"/>
        </w:numPr>
      </w:pPr>
      <w:r>
        <w:t xml:space="preserve">Kohtuväline </w:t>
      </w:r>
      <w:proofErr w:type="spellStart"/>
      <w:r>
        <w:t>menetleja</w:t>
      </w:r>
      <w:proofErr w:type="spellEnd"/>
      <w:r>
        <w:t xml:space="preserve"> (nt maksu- või konkurentsiamet)</w:t>
      </w:r>
    </w:p>
    <w:p w:rsidR="00DD296B" w:rsidRDefault="008D75BE" w:rsidP="00DD296B">
      <w:pPr>
        <w:pStyle w:val="NormalWeb"/>
        <w:numPr>
          <w:ilvl w:val="0"/>
          <w:numId w:val="1"/>
        </w:numPr>
      </w:pPr>
      <w:r>
        <w:t>Kõik need kelle on seadusega õigus mingit menetlust alustada või mitte alustada</w:t>
      </w:r>
    </w:p>
    <w:p w:rsidR="00DD296B" w:rsidRDefault="00DD296B" w:rsidP="00DD296B">
      <w:pPr>
        <w:pStyle w:val="NormalWeb"/>
      </w:pPr>
      <w:r>
        <w:rPr>
          <w:rStyle w:val="Strong"/>
        </w:rPr>
        <w:t>3. Prokuratuuri roll katsetusmenetluste algatajana</w:t>
      </w:r>
      <w:r>
        <w:t xml:space="preserve"> Prokuratuur võib algatada kriminaalmenetluse juhtumites, kus seadus on tõlgendatav mitmeti. Näiteks:</w:t>
      </w:r>
    </w:p>
    <w:p w:rsidR="00DD296B" w:rsidRDefault="00DD296B" w:rsidP="00DD296B">
      <w:pPr>
        <w:pStyle w:val="NormalWeb"/>
        <w:numPr>
          <w:ilvl w:val="0"/>
          <w:numId w:val="2"/>
        </w:numPr>
      </w:pPr>
      <w:r>
        <w:t>Kuriteokoosseis, mis ei ole varasemalt praktikas rakendust leidnud</w:t>
      </w:r>
    </w:p>
    <w:p w:rsidR="00DD296B" w:rsidRDefault="00DD296B" w:rsidP="00DD296B">
      <w:pPr>
        <w:pStyle w:val="NormalWeb"/>
        <w:numPr>
          <w:ilvl w:val="0"/>
          <w:numId w:val="2"/>
        </w:numPr>
      </w:pPr>
      <w:r>
        <w:t xml:space="preserve">Tehniliselt korrektne, kuid sisuliselt kaheldav olukord (nt </w:t>
      </w:r>
      <w:proofErr w:type="spellStart"/>
      <w:r>
        <w:t>teadusrahastuse</w:t>
      </w:r>
      <w:proofErr w:type="spellEnd"/>
      <w:r>
        <w:t xml:space="preserve"> juhtumid)</w:t>
      </w:r>
    </w:p>
    <w:p w:rsidR="00DD296B" w:rsidRDefault="00DD296B" w:rsidP="00DD296B">
      <w:pPr>
        <w:pStyle w:val="NormalWeb"/>
      </w:pPr>
      <w:r>
        <w:rPr>
          <w:rStyle w:val="Strong"/>
        </w:rPr>
        <w:t>Probleemid:</w:t>
      </w:r>
    </w:p>
    <w:p w:rsidR="00DD296B" w:rsidRDefault="00DD296B" w:rsidP="00DD296B">
      <w:pPr>
        <w:pStyle w:val="NormalWeb"/>
        <w:numPr>
          <w:ilvl w:val="0"/>
          <w:numId w:val="3"/>
        </w:numPr>
      </w:pPr>
      <w:r>
        <w:t>Õigusselguse puudumine kahjustab isikute põhiõigusi</w:t>
      </w:r>
      <w:r w:rsidR="008D75BE">
        <w:t>,</w:t>
      </w:r>
    </w:p>
    <w:p w:rsidR="00DD296B" w:rsidRDefault="00DD296B" w:rsidP="00DD296B">
      <w:pPr>
        <w:pStyle w:val="NormalWeb"/>
        <w:numPr>
          <w:ilvl w:val="0"/>
          <w:numId w:val="3"/>
        </w:numPr>
      </w:pPr>
      <w:r>
        <w:t>Seadusandja roll asendub kohtuliku loovtõlgendusega</w:t>
      </w:r>
      <w:r w:rsidR="008D75BE">
        <w:t>,</w:t>
      </w:r>
    </w:p>
    <w:p w:rsidR="00DD296B" w:rsidRDefault="008D75BE" w:rsidP="00DD296B">
      <w:pPr>
        <w:pStyle w:val="NormalWeb"/>
        <w:numPr>
          <w:ilvl w:val="0"/>
          <w:numId w:val="3"/>
        </w:numPr>
      </w:pPr>
      <w:r>
        <w:t>M</w:t>
      </w:r>
      <w:r w:rsidR="00DD296B">
        <w:t xml:space="preserve">enetlus </w:t>
      </w:r>
      <w:r>
        <w:t xml:space="preserve">ja õiguse mõistmine </w:t>
      </w:r>
      <w:r w:rsidR="00DD296B">
        <w:t>muutub eksperimenteerimisvahendiks</w:t>
      </w:r>
      <w:r>
        <w:t>,</w:t>
      </w:r>
    </w:p>
    <w:p w:rsidR="008D75BE" w:rsidRDefault="008D75BE" w:rsidP="00DD296B">
      <w:pPr>
        <w:pStyle w:val="NormalWeb"/>
        <w:numPr>
          <w:ilvl w:val="0"/>
          <w:numId w:val="3"/>
        </w:numPr>
      </w:pPr>
      <w:r>
        <w:t>Menetlus jäetakse alustamata.</w:t>
      </w:r>
    </w:p>
    <w:p w:rsidR="00DD296B" w:rsidRDefault="00DD296B" w:rsidP="00DD296B">
      <w:pPr>
        <w:pStyle w:val="NormalWeb"/>
      </w:pPr>
      <w:r>
        <w:rPr>
          <w:rStyle w:val="Strong"/>
        </w:rPr>
        <w:t xml:space="preserve">4. Kohtuväliste </w:t>
      </w:r>
      <w:proofErr w:type="spellStart"/>
      <w:r>
        <w:rPr>
          <w:rStyle w:val="Strong"/>
        </w:rPr>
        <w:t>menetlejate</w:t>
      </w:r>
      <w:proofErr w:type="spellEnd"/>
      <w:r>
        <w:rPr>
          <w:rStyle w:val="Strong"/>
        </w:rPr>
        <w:t xml:space="preserve"> praktika</w:t>
      </w:r>
      <w:r>
        <w:t xml:space="preserve"> Teatud ametiasutused (nt andmekaitse inspektsioon, konkurentsiamet) algatavad menetlusi juhtumites, kus seaduse rakendusala on ebaselge.</w:t>
      </w:r>
    </w:p>
    <w:p w:rsidR="00DD296B" w:rsidRDefault="00DD296B" w:rsidP="00DD296B">
      <w:pPr>
        <w:pStyle w:val="NormalWeb"/>
      </w:pPr>
      <w:r>
        <w:rPr>
          <w:rStyle w:val="Strong"/>
        </w:rPr>
        <w:t>Probleemid:</w:t>
      </w:r>
    </w:p>
    <w:p w:rsidR="00DD296B" w:rsidRDefault="008D75BE" w:rsidP="00DD296B">
      <w:pPr>
        <w:pStyle w:val="NormalWeb"/>
        <w:numPr>
          <w:ilvl w:val="0"/>
          <w:numId w:val="4"/>
        </w:numPr>
      </w:pPr>
      <w:r>
        <w:t>Tegevusi korraldatakse</w:t>
      </w:r>
      <w:r w:rsidR="00DD296B">
        <w:t xml:space="preserve"> ilma kohtuliku </w:t>
      </w:r>
      <w:r>
        <w:t xml:space="preserve">loata ja </w:t>
      </w:r>
      <w:r w:rsidR="00DD296B">
        <w:t>kontrollita</w:t>
      </w:r>
    </w:p>
    <w:p w:rsidR="00DD296B" w:rsidRDefault="00DD296B" w:rsidP="00DD296B">
      <w:pPr>
        <w:pStyle w:val="NormalWeb"/>
        <w:numPr>
          <w:ilvl w:val="0"/>
          <w:numId w:val="4"/>
        </w:numPr>
      </w:pPr>
      <w:r>
        <w:t>Tekib oht, et hakatakse "looma" normi ametkondlikult, mitte seaduslikult</w:t>
      </w:r>
    </w:p>
    <w:p w:rsidR="00DD296B" w:rsidRDefault="008D75BE" w:rsidP="00DD296B">
      <w:pPr>
        <w:pStyle w:val="NormalWeb"/>
        <w:numPr>
          <w:ilvl w:val="0"/>
          <w:numId w:val="4"/>
        </w:numPr>
      </w:pPr>
      <w:r>
        <w:t>Õiguspärane ootus</w:t>
      </w:r>
      <w:r w:rsidR="00DD296B">
        <w:t xml:space="preserve"> ja õiguskindlus kannatavad</w:t>
      </w:r>
    </w:p>
    <w:p w:rsidR="008D75BE" w:rsidRDefault="00DD296B" w:rsidP="00DD296B">
      <w:pPr>
        <w:pStyle w:val="NormalWeb"/>
      </w:pPr>
      <w:r>
        <w:rPr>
          <w:rStyle w:val="Strong"/>
        </w:rPr>
        <w:t>5. Kohtunike roll aktivistliku tõlgenduse kaudu</w:t>
      </w:r>
      <w:r>
        <w:t xml:space="preserve"> </w:t>
      </w:r>
    </w:p>
    <w:p w:rsidR="00DD296B" w:rsidRDefault="00DD296B" w:rsidP="00DD296B">
      <w:pPr>
        <w:pStyle w:val="NormalWeb"/>
      </w:pPr>
      <w:r>
        <w:lastRenderedPageBreak/>
        <w:t>Kohtud võivad lahendada</w:t>
      </w:r>
      <w:r w:rsidR="005F720F">
        <w:t xml:space="preserve"> kaasusi viisil, mis selgelt ül</w:t>
      </w:r>
      <w:r>
        <w:t>etab seaduse sõnastuse piire, et suunata tulevast prakt</w:t>
      </w:r>
      <w:r w:rsidR="005F720F">
        <w:t>ikat.</w:t>
      </w:r>
    </w:p>
    <w:p w:rsidR="00DD296B" w:rsidRDefault="00DD296B" w:rsidP="00DD296B">
      <w:pPr>
        <w:pStyle w:val="NormalWeb"/>
      </w:pPr>
      <w:r>
        <w:rPr>
          <w:rStyle w:val="Strong"/>
        </w:rPr>
        <w:t>Probleemid:</w:t>
      </w:r>
    </w:p>
    <w:p w:rsidR="00DD296B" w:rsidRDefault="00DD296B" w:rsidP="00DD296B">
      <w:pPr>
        <w:pStyle w:val="NormalWeb"/>
        <w:numPr>
          <w:ilvl w:val="0"/>
          <w:numId w:val="5"/>
        </w:numPr>
      </w:pPr>
      <w:r>
        <w:t>Võimude lahususe printsiibi rikkumine</w:t>
      </w:r>
    </w:p>
    <w:p w:rsidR="00DD296B" w:rsidRDefault="00DD296B" w:rsidP="00DD296B">
      <w:pPr>
        <w:pStyle w:val="NormalWeb"/>
        <w:numPr>
          <w:ilvl w:val="0"/>
          <w:numId w:val="5"/>
        </w:numPr>
      </w:pPr>
      <w:r>
        <w:t>Tagantjärele õiguse "leiutamine"</w:t>
      </w:r>
    </w:p>
    <w:p w:rsidR="00DD296B" w:rsidRDefault="00DD296B" w:rsidP="00DD296B">
      <w:pPr>
        <w:pStyle w:val="NormalWeb"/>
        <w:numPr>
          <w:ilvl w:val="0"/>
          <w:numId w:val="5"/>
        </w:numPr>
      </w:pPr>
      <w:r>
        <w:t xml:space="preserve">Õigusloome nihkumine seadusandjalt </w:t>
      </w:r>
      <w:proofErr w:type="spellStart"/>
      <w:r w:rsidR="005F720F">
        <w:t>menetlejatele</w:t>
      </w:r>
      <w:proofErr w:type="spellEnd"/>
      <w:r w:rsidR="005F720F">
        <w:t xml:space="preserve"> ja </w:t>
      </w:r>
      <w:r>
        <w:t>kohtuvõimule</w:t>
      </w:r>
    </w:p>
    <w:p w:rsidR="00DD296B" w:rsidRDefault="00DD296B" w:rsidP="00DD296B">
      <w:pPr>
        <w:pStyle w:val="NormalWeb"/>
      </w:pPr>
      <w:r>
        <w:rPr>
          <w:rStyle w:val="Strong"/>
        </w:rPr>
        <w:t>6. Järeldused ja soovitused</w:t>
      </w:r>
    </w:p>
    <w:p w:rsidR="00DD296B" w:rsidRDefault="00DD296B" w:rsidP="00DD296B">
      <w:pPr>
        <w:pStyle w:val="NormalWeb"/>
        <w:numPr>
          <w:ilvl w:val="0"/>
          <w:numId w:val="6"/>
        </w:numPr>
      </w:pPr>
      <w:r>
        <w:t>Katsetusmenetlus ei sobi</w:t>
      </w:r>
      <w:r w:rsidR="005F720F">
        <w:t xml:space="preserve"> kriminaalõigusesse, kus kehtib nulltolerants</w:t>
      </w:r>
    </w:p>
    <w:p w:rsidR="00DD296B" w:rsidRDefault="005F720F" w:rsidP="00DD296B">
      <w:pPr>
        <w:pStyle w:val="NormalWeb"/>
        <w:numPr>
          <w:ilvl w:val="0"/>
          <w:numId w:val="6"/>
        </w:numPr>
      </w:pPr>
      <w:r>
        <w:t>Vaidlused õiguse sisu üle tuleb</w:t>
      </w:r>
      <w:r w:rsidR="00DD296B">
        <w:t xml:space="preserve"> lahendada seadusandja tasandil</w:t>
      </w:r>
    </w:p>
    <w:p w:rsidR="00DD296B" w:rsidRDefault="00DD296B" w:rsidP="00DD296B">
      <w:pPr>
        <w:pStyle w:val="NormalWeb"/>
        <w:numPr>
          <w:ilvl w:val="0"/>
          <w:numId w:val="6"/>
        </w:numPr>
      </w:pPr>
      <w:r>
        <w:t>Kohtute roll peab jääma tõlgendavaks, mitte loovaks</w:t>
      </w:r>
    </w:p>
    <w:p w:rsidR="00DD296B" w:rsidRDefault="00DD296B" w:rsidP="00DD296B">
      <w:pPr>
        <w:pStyle w:val="NormalWeb"/>
        <w:numPr>
          <w:ilvl w:val="0"/>
          <w:numId w:val="6"/>
        </w:numPr>
      </w:pPr>
      <w:r>
        <w:t>Vajalik on järjekindel põhiseaduslik järelevalve</w:t>
      </w:r>
    </w:p>
    <w:p w:rsidR="00DD296B" w:rsidRDefault="00DD296B" w:rsidP="00DD296B">
      <w:pPr>
        <w:pStyle w:val="NormalWeb"/>
      </w:pPr>
      <w:r>
        <w:t>Katsetusmenetlused on ohtlikud, kui neid ei piirata selge õigusliku raamistikuga. Neid võib kohati pidada õiguskultuuri deformatsiooni näitajaks, kus normide tähendust loovad mitte rahva poolt valitud esindajad, vaid ametkonnad ja kohtud.</w:t>
      </w:r>
    </w:p>
    <w:p w:rsidR="00556DB7" w:rsidRDefault="005F720F">
      <w:pPr>
        <w:rPr>
          <w:rFonts w:ascii="Times New Roman" w:hAnsi="Times New Roman" w:cs="Times New Roman"/>
          <w:sz w:val="24"/>
          <w:szCs w:val="24"/>
        </w:rPr>
      </w:pPr>
      <w:r w:rsidRPr="005F720F">
        <w:rPr>
          <w:rFonts w:ascii="Times New Roman" w:hAnsi="Times New Roman" w:cs="Times New Roman"/>
          <w:sz w:val="24"/>
          <w:szCs w:val="24"/>
        </w:rPr>
        <w:t xml:space="preserve">Katsetusmenetlus esinevad tunnused mis võivad olla seotud isikute salajase jälgimise ja tundliku info esinemise probleemile.  </w:t>
      </w:r>
    </w:p>
    <w:p w:rsidR="005F720F" w:rsidRDefault="005F720F">
      <w:pPr>
        <w:rPr>
          <w:rFonts w:ascii="Times New Roman" w:hAnsi="Times New Roman" w:cs="Times New Roman"/>
          <w:sz w:val="24"/>
          <w:szCs w:val="24"/>
        </w:rPr>
      </w:pPr>
    </w:p>
    <w:p w:rsidR="005F720F" w:rsidRDefault="005F7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Aare Siir, Eesti Politsei Kutseühingu juhatuse liige</w:t>
      </w:r>
    </w:p>
    <w:p w:rsidR="005F720F" w:rsidRPr="005F720F" w:rsidRDefault="005F720F">
      <w:pPr>
        <w:rPr>
          <w:rFonts w:ascii="Times New Roman" w:hAnsi="Times New Roman" w:cs="Times New Roman"/>
          <w:sz w:val="24"/>
          <w:szCs w:val="24"/>
        </w:rPr>
      </w:pPr>
      <w:r w:rsidRPr="005F720F">
        <w:rPr>
          <w:rFonts w:ascii="Times New Roman" w:hAnsi="Times New Roman" w:cs="Times New Roman"/>
          <w:sz w:val="24"/>
          <w:szCs w:val="24"/>
        </w:rPr>
        <w:t>õigusteaduse magister</w:t>
      </w:r>
    </w:p>
    <w:sectPr w:rsidR="005F720F" w:rsidRPr="005F72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911"/>
    <w:multiLevelType w:val="multilevel"/>
    <w:tmpl w:val="4512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469EE"/>
    <w:multiLevelType w:val="multilevel"/>
    <w:tmpl w:val="431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E0328"/>
    <w:multiLevelType w:val="hybridMultilevel"/>
    <w:tmpl w:val="80FE1656"/>
    <w:lvl w:ilvl="0" w:tplc="ADDEA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152A4"/>
    <w:multiLevelType w:val="multilevel"/>
    <w:tmpl w:val="59CC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0145C"/>
    <w:multiLevelType w:val="multilevel"/>
    <w:tmpl w:val="7238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31414"/>
    <w:multiLevelType w:val="multilevel"/>
    <w:tmpl w:val="CDF4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60631"/>
    <w:multiLevelType w:val="multilevel"/>
    <w:tmpl w:val="547C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6B"/>
    <w:rsid w:val="00556DB7"/>
    <w:rsid w:val="005F720F"/>
    <w:rsid w:val="008D75BE"/>
    <w:rsid w:val="00D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9C3E"/>
  <w15:chartTrackingRefBased/>
  <w15:docId w15:val="{C7B2508C-EDB0-463B-B3C4-129DCDBF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DD2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414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Aare</cp:lastModifiedBy>
  <cp:revision>4</cp:revision>
  <dcterms:created xsi:type="dcterms:W3CDTF">2025-05-07T05:49:00Z</dcterms:created>
  <dcterms:modified xsi:type="dcterms:W3CDTF">2025-05-14T06:31:00Z</dcterms:modified>
</cp:coreProperties>
</file>